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C0C5B" w14:textId="5707D4D0" w:rsidR="00C15C00" w:rsidRPr="007632B0" w:rsidRDefault="00E765B8" w:rsidP="007632B0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734DB3">
        <w:rPr>
          <w:rFonts w:ascii="Open Sans" w:eastAsia="Arial" w:hAnsi="Open Sans" w:cs="Open Sans"/>
          <w:b/>
          <w:bCs/>
          <w:sz w:val="24"/>
          <w:szCs w:val="24"/>
        </w:rPr>
        <w:t>Lesson 8 - Regulating Global Business</w:t>
      </w:r>
    </w:p>
    <w:p w14:paraId="3808F00E" w14:textId="5CC1463D" w:rsidR="00E765B8" w:rsidRPr="00734DB3" w:rsidRDefault="00E765B8" w:rsidP="00E765B8">
      <w:pPr>
        <w:jc w:val="center"/>
        <w:rPr>
          <w:rFonts w:ascii="Open Sans" w:hAnsi="Open Sans" w:cs="Open Sans"/>
          <w:sz w:val="24"/>
          <w:szCs w:val="24"/>
        </w:rPr>
      </w:pPr>
      <w:r w:rsidRPr="00734DB3">
        <w:rPr>
          <w:rFonts w:ascii="Open Sans" w:eastAsia="Arial" w:hAnsi="Open Sans" w:cs="Open Sans"/>
          <w:sz w:val="24"/>
          <w:szCs w:val="24"/>
        </w:rPr>
        <w:t>Formal Assessment</w:t>
      </w:r>
      <w:r w:rsidR="004504FD">
        <w:rPr>
          <w:rFonts w:ascii="Open Sans" w:eastAsia="Arial" w:hAnsi="Open Sans" w:cs="Open Sans"/>
          <w:sz w:val="24"/>
          <w:szCs w:val="24"/>
        </w:rPr>
        <w:t xml:space="preserve"> Key</w:t>
      </w:r>
      <w:bookmarkStart w:id="0" w:name="_GoBack"/>
      <w:bookmarkEnd w:id="0"/>
    </w:p>
    <w:p w14:paraId="49EE0FD1" w14:textId="77777777" w:rsidR="00E765B8" w:rsidRPr="00734DB3" w:rsidRDefault="00E765B8" w:rsidP="00E765B8">
      <w:pPr>
        <w:spacing w:line="11" w:lineRule="exact"/>
        <w:rPr>
          <w:rFonts w:ascii="Open Sans" w:hAnsi="Open Sans" w:cs="Open Sans"/>
          <w:sz w:val="24"/>
          <w:szCs w:val="24"/>
        </w:rPr>
      </w:pPr>
    </w:p>
    <w:p w14:paraId="63EBCF7F" w14:textId="77777777" w:rsidR="00734DB3" w:rsidRDefault="00734DB3" w:rsidP="00E765B8">
      <w:pPr>
        <w:spacing w:line="236" w:lineRule="auto"/>
        <w:ind w:right="140"/>
        <w:rPr>
          <w:rFonts w:ascii="Open Sans" w:eastAsia="Arial" w:hAnsi="Open Sans" w:cs="Open Sans"/>
          <w:b/>
          <w:bCs/>
          <w:sz w:val="24"/>
          <w:szCs w:val="24"/>
        </w:rPr>
      </w:pPr>
    </w:p>
    <w:p w14:paraId="4CE1B0BF" w14:textId="5F9B4D28" w:rsidR="00E765B8" w:rsidRPr="00734DB3" w:rsidRDefault="00E765B8" w:rsidP="00E765B8">
      <w:pPr>
        <w:spacing w:line="236" w:lineRule="auto"/>
        <w:ind w:right="140"/>
        <w:rPr>
          <w:rFonts w:ascii="Open Sans" w:hAnsi="Open Sans" w:cs="Open Sans"/>
          <w:sz w:val="24"/>
          <w:szCs w:val="24"/>
        </w:rPr>
      </w:pPr>
      <w:r w:rsidRPr="00734DB3">
        <w:rPr>
          <w:rFonts w:ascii="Open Sans" w:eastAsia="Arial" w:hAnsi="Open Sans" w:cs="Open Sans"/>
          <w:b/>
          <w:bCs/>
          <w:sz w:val="24"/>
          <w:szCs w:val="24"/>
        </w:rPr>
        <w:t xml:space="preserve">Objective: </w:t>
      </w:r>
      <w:r w:rsidRPr="00734DB3">
        <w:rPr>
          <w:rFonts w:ascii="Open Sans" w:eastAsia="Arial" w:hAnsi="Open Sans" w:cs="Open Sans"/>
          <w:sz w:val="24"/>
          <w:szCs w:val="24"/>
        </w:rPr>
        <w:t xml:space="preserve">To </w:t>
      </w:r>
      <w:proofErr w:type="gramStart"/>
      <w:r w:rsidRPr="00734DB3">
        <w:rPr>
          <w:rFonts w:ascii="Open Sans" w:eastAsia="Arial" w:hAnsi="Open Sans" w:cs="Open Sans"/>
          <w:sz w:val="24"/>
          <w:szCs w:val="24"/>
        </w:rPr>
        <w:t>determine</w:t>
      </w:r>
      <w:proofErr w:type="gramEnd"/>
      <w:r w:rsidRPr="00734DB3">
        <w:rPr>
          <w:rFonts w:ascii="Open Sans" w:eastAsia="Arial" w:hAnsi="Open Sans" w:cs="Open Sans"/>
          <w:sz w:val="24"/>
          <w:szCs w:val="24"/>
        </w:rPr>
        <w:t xml:space="preserve"> your level of understanding of the reasoning behind controls</w:t>
      </w:r>
      <w:r w:rsidRPr="00734DB3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734DB3">
        <w:rPr>
          <w:rFonts w:ascii="Open Sans" w:eastAsia="Arial" w:hAnsi="Open Sans" w:cs="Open Sans"/>
          <w:sz w:val="24"/>
          <w:szCs w:val="24"/>
        </w:rPr>
        <w:t>and regulations of global business behavior, the Foreign Corrupt Practices Act, and the role of international law in the conduct of global business.</w:t>
      </w:r>
    </w:p>
    <w:p w14:paraId="094677D7" w14:textId="77777777" w:rsidR="00E765B8" w:rsidRPr="00734DB3" w:rsidRDefault="00E765B8" w:rsidP="00E765B8">
      <w:pPr>
        <w:spacing w:line="3" w:lineRule="exact"/>
        <w:rPr>
          <w:rFonts w:ascii="Open Sans" w:hAnsi="Open Sans" w:cs="Open Sans"/>
          <w:sz w:val="24"/>
          <w:szCs w:val="24"/>
        </w:rPr>
      </w:pPr>
    </w:p>
    <w:p w14:paraId="387913A5" w14:textId="77777777" w:rsidR="00734DB3" w:rsidRDefault="00734DB3" w:rsidP="00E765B8">
      <w:pPr>
        <w:rPr>
          <w:rFonts w:ascii="Open Sans" w:eastAsia="Arial" w:hAnsi="Open Sans" w:cs="Open Sans"/>
          <w:b/>
          <w:bCs/>
          <w:sz w:val="24"/>
          <w:szCs w:val="24"/>
        </w:rPr>
      </w:pPr>
    </w:p>
    <w:p w14:paraId="6F702E85" w14:textId="5A1A27E3" w:rsidR="00E765B8" w:rsidRPr="00734DB3" w:rsidRDefault="00E765B8" w:rsidP="00E765B8">
      <w:pPr>
        <w:rPr>
          <w:rFonts w:ascii="Open Sans" w:hAnsi="Open Sans" w:cs="Open Sans"/>
          <w:sz w:val="24"/>
          <w:szCs w:val="24"/>
        </w:rPr>
      </w:pPr>
      <w:r w:rsidRPr="00734DB3">
        <w:rPr>
          <w:rFonts w:ascii="Open Sans" w:eastAsia="Arial" w:hAnsi="Open Sans" w:cs="Open Sans"/>
          <w:b/>
          <w:bCs/>
          <w:sz w:val="24"/>
          <w:szCs w:val="24"/>
        </w:rPr>
        <w:t>Please answer the following questions (be specific and detailed)</w:t>
      </w:r>
      <w:r w:rsidRPr="00734DB3">
        <w:rPr>
          <w:rFonts w:ascii="Open Sans" w:eastAsia="Arial" w:hAnsi="Open Sans" w:cs="Open Sans"/>
          <w:sz w:val="24"/>
          <w:szCs w:val="24"/>
        </w:rPr>
        <w:t>.</w:t>
      </w:r>
    </w:p>
    <w:p w14:paraId="2B811B7B" w14:textId="77777777" w:rsidR="004504FD" w:rsidRPr="00AB5D73" w:rsidRDefault="004504FD" w:rsidP="004504FD">
      <w:pPr>
        <w:numPr>
          <w:ilvl w:val="0"/>
          <w:numId w:val="4"/>
        </w:numPr>
        <w:tabs>
          <w:tab w:val="left" w:pos="720"/>
        </w:tabs>
        <w:spacing w:line="236" w:lineRule="auto"/>
        <w:ind w:right="280"/>
        <w:rPr>
          <w:rFonts w:ascii="Open Sans" w:eastAsia="Calibri" w:hAnsi="Open Sans" w:cs="Open Sans"/>
          <w:sz w:val="24"/>
          <w:szCs w:val="24"/>
        </w:rPr>
      </w:pPr>
      <w:r w:rsidRPr="00AB5D73">
        <w:rPr>
          <w:rFonts w:ascii="Open Sans" w:eastAsia="Calibri" w:hAnsi="Open Sans" w:cs="Open Sans"/>
          <w:sz w:val="24"/>
          <w:szCs w:val="24"/>
        </w:rPr>
        <w:t xml:space="preserve">What do you think are the reasons for controlling global business behavior? </w:t>
      </w:r>
      <w:r w:rsidRPr="00AB5D73">
        <w:rPr>
          <w:rFonts w:ascii="Open Sans" w:eastAsia="Calibri" w:hAnsi="Open Sans" w:cs="Open Sans"/>
          <w:color w:val="FF0000"/>
          <w:sz w:val="24"/>
          <w:szCs w:val="24"/>
        </w:rPr>
        <w:t>Answers will vary</w:t>
      </w:r>
      <w:r w:rsidRPr="00AB5D73">
        <w:rPr>
          <w:rFonts w:ascii="Open Sans" w:eastAsia="Calibri" w:hAnsi="Open Sans" w:cs="Open Sans"/>
          <w:sz w:val="24"/>
          <w:szCs w:val="24"/>
        </w:rPr>
        <w:t xml:space="preserve"> </w:t>
      </w:r>
      <w:r w:rsidRPr="00AB5D73">
        <w:rPr>
          <w:rFonts w:ascii="Open Sans" w:eastAsia="Calibri" w:hAnsi="Open Sans" w:cs="Open Sans"/>
          <w:color w:val="FF0000"/>
          <w:sz w:val="24"/>
          <w:szCs w:val="24"/>
        </w:rPr>
        <w:t>and need to be supported with information from lesson.</w:t>
      </w:r>
    </w:p>
    <w:p w14:paraId="1307F908" w14:textId="77777777" w:rsidR="004504FD" w:rsidRPr="00AB5D73" w:rsidRDefault="004504FD" w:rsidP="004504FD">
      <w:pPr>
        <w:spacing w:line="91" w:lineRule="exact"/>
        <w:rPr>
          <w:rFonts w:ascii="Open Sans" w:eastAsia="Calibri" w:hAnsi="Open Sans" w:cs="Open Sans"/>
          <w:sz w:val="24"/>
          <w:szCs w:val="24"/>
        </w:rPr>
      </w:pPr>
    </w:p>
    <w:p w14:paraId="77A502BD" w14:textId="77777777" w:rsidR="004504FD" w:rsidRDefault="004504FD" w:rsidP="004504FD">
      <w:pPr>
        <w:numPr>
          <w:ilvl w:val="0"/>
          <w:numId w:val="4"/>
        </w:numPr>
        <w:tabs>
          <w:tab w:val="left" w:pos="720"/>
        </w:tabs>
        <w:spacing w:line="235" w:lineRule="auto"/>
        <w:ind w:right="300"/>
        <w:rPr>
          <w:rFonts w:ascii="Open Sans" w:eastAsia="Calibri" w:hAnsi="Open Sans" w:cs="Open Sans"/>
          <w:sz w:val="24"/>
          <w:szCs w:val="24"/>
        </w:rPr>
      </w:pPr>
      <w:r w:rsidRPr="00AB5D73">
        <w:rPr>
          <w:rFonts w:ascii="Open Sans" w:eastAsia="Calibri" w:hAnsi="Open Sans" w:cs="Open Sans"/>
          <w:sz w:val="24"/>
          <w:szCs w:val="24"/>
        </w:rPr>
        <w:t xml:space="preserve">What conclusions can you draw about the </w:t>
      </w:r>
      <w:proofErr w:type="spellStart"/>
      <w:r w:rsidRPr="00AB5D73">
        <w:rPr>
          <w:rFonts w:ascii="Open Sans" w:eastAsia="Calibri" w:hAnsi="Open Sans" w:cs="Open Sans"/>
          <w:sz w:val="24"/>
          <w:szCs w:val="24"/>
        </w:rPr>
        <w:t>FCPA</w:t>
      </w:r>
      <w:proofErr w:type="spellEnd"/>
      <w:r w:rsidRPr="00AB5D73">
        <w:rPr>
          <w:rFonts w:ascii="Open Sans" w:eastAsia="Calibri" w:hAnsi="Open Sans" w:cs="Open Sans"/>
          <w:sz w:val="24"/>
          <w:szCs w:val="24"/>
        </w:rPr>
        <w:t xml:space="preserve">? </w:t>
      </w:r>
    </w:p>
    <w:p w14:paraId="33E955FD" w14:textId="10670081" w:rsidR="004504FD" w:rsidRPr="004504FD" w:rsidRDefault="004504FD" w:rsidP="004504FD">
      <w:pPr>
        <w:tabs>
          <w:tab w:val="left" w:pos="720"/>
        </w:tabs>
        <w:spacing w:line="235" w:lineRule="auto"/>
        <w:ind w:left="360" w:right="300"/>
        <w:rPr>
          <w:rFonts w:ascii="Open Sans" w:eastAsia="Calibri" w:hAnsi="Open Sans" w:cs="Open Sans"/>
          <w:sz w:val="24"/>
          <w:szCs w:val="24"/>
        </w:rPr>
      </w:pPr>
      <w:r w:rsidRPr="004504FD">
        <w:rPr>
          <w:rFonts w:ascii="Open Sans" w:eastAsia="Calibri" w:hAnsi="Open Sans" w:cs="Open Sans"/>
          <w:color w:val="FF0000"/>
          <w:sz w:val="24"/>
          <w:szCs w:val="24"/>
        </w:rPr>
        <w:t>Answers will vary and need to be supported</w:t>
      </w:r>
      <w:r w:rsidRPr="004504FD">
        <w:rPr>
          <w:rFonts w:ascii="Open Sans" w:eastAsia="Calibri" w:hAnsi="Open Sans" w:cs="Open Sans"/>
          <w:sz w:val="24"/>
          <w:szCs w:val="24"/>
        </w:rPr>
        <w:t xml:space="preserve"> </w:t>
      </w:r>
      <w:r w:rsidRPr="004504FD">
        <w:rPr>
          <w:rFonts w:ascii="Open Sans" w:eastAsia="Calibri" w:hAnsi="Open Sans" w:cs="Open Sans"/>
          <w:color w:val="FF0000"/>
          <w:sz w:val="24"/>
          <w:szCs w:val="24"/>
        </w:rPr>
        <w:t>with information from lesson.</w:t>
      </w:r>
    </w:p>
    <w:p w14:paraId="19949996" w14:textId="77777777" w:rsidR="004504FD" w:rsidRPr="00AB5D73" w:rsidRDefault="004504FD" w:rsidP="004504FD">
      <w:pPr>
        <w:spacing w:line="90" w:lineRule="exact"/>
        <w:rPr>
          <w:rFonts w:ascii="Open Sans" w:eastAsia="Calibri" w:hAnsi="Open Sans" w:cs="Open Sans"/>
          <w:sz w:val="24"/>
          <w:szCs w:val="24"/>
        </w:rPr>
      </w:pPr>
    </w:p>
    <w:p w14:paraId="74D4DEB0" w14:textId="77777777" w:rsidR="004504FD" w:rsidRPr="00AB5D73" w:rsidRDefault="004504FD" w:rsidP="004504FD">
      <w:pPr>
        <w:numPr>
          <w:ilvl w:val="0"/>
          <w:numId w:val="4"/>
        </w:numPr>
        <w:tabs>
          <w:tab w:val="left" w:pos="720"/>
        </w:tabs>
        <w:spacing w:line="236" w:lineRule="auto"/>
        <w:ind w:right="160"/>
        <w:rPr>
          <w:rFonts w:ascii="Open Sans" w:eastAsia="Calibri" w:hAnsi="Open Sans" w:cs="Open Sans"/>
          <w:sz w:val="24"/>
          <w:szCs w:val="24"/>
        </w:rPr>
      </w:pPr>
      <w:r w:rsidRPr="00AB5D73">
        <w:rPr>
          <w:rFonts w:ascii="Open Sans" w:eastAsia="Calibri" w:hAnsi="Open Sans" w:cs="Open Sans"/>
          <w:sz w:val="24"/>
          <w:szCs w:val="24"/>
        </w:rPr>
        <w:t>What is the purpose of the Small Business Administration –Office of International Trade? What is the purpose of the United States Court of International Trade?</w:t>
      </w:r>
    </w:p>
    <w:p w14:paraId="257005EB" w14:textId="77777777" w:rsidR="004504FD" w:rsidRPr="00AB5D73" w:rsidRDefault="004504FD" w:rsidP="004504FD">
      <w:pPr>
        <w:spacing w:line="89" w:lineRule="exact"/>
        <w:rPr>
          <w:rFonts w:ascii="Open Sans" w:eastAsia="Calibri" w:hAnsi="Open Sans" w:cs="Open Sans"/>
          <w:sz w:val="24"/>
          <w:szCs w:val="24"/>
        </w:rPr>
      </w:pPr>
    </w:p>
    <w:p w14:paraId="559FC523" w14:textId="77777777" w:rsidR="004504FD" w:rsidRPr="00AB5D73" w:rsidRDefault="004504FD" w:rsidP="004504FD">
      <w:pPr>
        <w:numPr>
          <w:ilvl w:val="1"/>
          <w:numId w:val="4"/>
        </w:numPr>
        <w:tabs>
          <w:tab w:val="left" w:pos="1440"/>
        </w:tabs>
        <w:spacing w:line="236" w:lineRule="auto"/>
        <w:ind w:left="1440" w:right="180" w:hanging="360"/>
        <w:rPr>
          <w:rFonts w:ascii="Open Sans" w:eastAsia="Calibri" w:hAnsi="Open Sans" w:cs="Open Sans"/>
          <w:color w:val="FF0000"/>
          <w:sz w:val="24"/>
          <w:szCs w:val="24"/>
        </w:rPr>
      </w:pPr>
      <w:r w:rsidRPr="00AB5D73">
        <w:rPr>
          <w:rFonts w:ascii="Open Sans" w:eastAsia="Calibri" w:hAnsi="Open Sans" w:cs="Open Sans"/>
          <w:color w:val="FF0000"/>
          <w:sz w:val="24"/>
          <w:szCs w:val="24"/>
        </w:rPr>
        <w:t>Office of International Trade - The Office of International Trade's mission is to enhance the ability of small businesses to compete in the global marketplace.</w:t>
      </w:r>
    </w:p>
    <w:p w14:paraId="6D5AB577" w14:textId="77777777" w:rsidR="004504FD" w:rsidRPr="00AB5D73" w:rsidRDefault="004504FD" w:rsidP="004504FD">
      <w:pPr>
        <w:spacing w:line="91" w:lineRule="exact"/>
        <w:rPr>
          <w:rFonts w:ascii="Open Sans" w:eastAsia="Calibri" w:hAnsi="Open Sans" w:cs="Open Sans"/>
          <w:color w:val="FF0000"/>
          <w:sz w:val="24"/>
          <w:szCs w:val="24"/>
        </w:rPr>
      </w:pPr>
    </w:p>
    <w:p w14:paraId="4BF089B2" w14:textId="77777777" w:rsidR="004504FD" w:rsidRPr="00AB5D73" w:rsidRDefault="004504FD" w:rsidP="004504FD">
      <w:pPr>
        <w:numPr>
          <w:ilvl w:val="1"/>
          <w:numId w:val="4"/>
        </w:numPr>
        <w:tabs>
          <w:tab w:val="left" w:pos="1440"/>
        </w:tabs>
        <w:spacing w:line="253" w:lineRule="auto"/>
        <w:ind w:left="1440" w:right="40" w:hanging="360"/>
        <w:rPr>
          <w:rFonts w:ascii="Open Sans" w:eastAsia="Calibri" w:hAnsi="Open Sans" w:cs="Open Sans"/>
          <w:color w:val="FF0000"/>
          <w:sz w:val="24"/>
          <w:szCs w:val="24"/>
        </w:rPr>
      </w:pPr>
      <w:r w:rsidRPr="00AB5D73">
        <w:rPr>
          <w:rFonts w:ascii="Open Sans" w:eastAsia="Calibri" w:hAnsi="Open Sans" w:cs="Open Sans"/>
          <w:color w:val="FF0000"/>
          <w:sz w:val="24"/>
          <w:szCs w:val="24"/>
        </w:rPr>
        <w:t xml:space="preserve">United States Court of International Trade - The United States Court of International Trade, </w:t>
      </w:r>
      <w:proofErr w:type="gramStart"/>
      <w:r w:rsidRPr="00AB5D73">
        <w:rPr>
          <w:rFonts w:ascii="Open Sans" w:eastAsia="Calibri" w:hAnsi="Open Sans" w:cs="Open Sans"/>
          <w:color w:val="FF0000"/>
          <w:sz w:val="24"/>
          <w:szCs w:val="24"/>
        </w:rPr>
        <w:t>established</w:t>
      </w:r>
      <w:proofErr w:type="gramEnd"/>
      <w:r w:rsidRPr="00AB5D73">
        <w:rPr>
          <w:rFonts w:ascii="Open Sans" w:eastAsia="Calibri" w:hAnsi="Open Sans" w:cs="Open Sans"/>
          <w:color w:val="FF0000"/>
          <w:sz w:val="24"/>
          <w:szCs w:val="24"/>
        </w:rPr>
        <w:t xml:space="preserve"> under Article III of the Constitution, has nationwide jurisdiction over civil actions arising out of the customs and international trade laws of the United States.</w:t>
      </w:r>
    </w:p>
    <w:p w14:paraId="65DF480E" w14:textId="77777777" w:rsidR="004504FD" w:rsidRPr="00AB5D73" w:rsidRDefault="004504FD" w:rsidP="004504FD">
      <w:pPr>
        <w:spacing w:line="77" w:lineRule="exact"/>
        <w:rPr>
          <w:rFonts w:ascii="Open Sans" w:eastAsia="Calibri" w:hAnsi="Open Sans" w:cs="Open Sans"/>
          <w:color w:val="FF0000"/>
          <w:sz w:val="24"/>
          <w:szCs w:val="24"/>
        </w:rPr>
      </w:pPr>
    </w:p>
    <w:p w14:paraId="5A8B0172" w14:textId="77777777" w:rsidR="004504FD" w:rsidRDefault="004504FD" w:rsidP="004504FD">
      <w:pPr>
        <w:numPr>
          <w:ilvl w:val="0"/>
          <w:numId w:val="4"/>
        </w:numPr>
        <w:tabs>
          <w:tab w:val="left" w:pos="720"/>
        </w:tabs>
        <w:spacing w:line="235" w:lineRule="auto"/>
        <w:ind w:right="180"/>
        <w:jc w:val="both"/>
        <w:rPr>
          <w:rFonts w:ascii="Open Sans" w:eastAsia="Calibri" w:hAnsi="Open Sans" w:cs="Open Sans"/>
          <w:sz w:val="24"/>
          <w:szCs w:val="24"/>
        </w:rPr>
      </w:pPr>
      <w:r w:rsidRPr="00AB5D73">
        <w:rPr>
          <w:rFonts w:ascii="Open Sans" w:eastAsia="Calibri" w:hAnsi="Open Sans" w:cs="Open Sans"/>
          <w:sz w:val="24"/>
          <w:szCs w:val="24"/>
        </w:rPr>
        <w:t xml:space="preserve">Define the term business behavior. </w:t>
      </w:r>
    </w:p>
    <w:p w14:paraId="41DC2B7C" w14:textId="21C34F2D" w:rsidR="004504FD" w:rsidRPr="00AB5D73" w:rsidRDefault="004504FD" w:rsidP="004504FD">
      <w:pPr>
        <w:tabs>
          <w:tab w:val="left" w:pos="720"/>
        </w:tabs>
        <w:spacing w:line="235" w:lineRule="auto"/>
        <w:ind w:left="360" w:right="180"/>
        <w:jc w:val="both"/>
        <w:rPr>
          <w:rFonts w:ascii="Open Sans" w:eastAsia="Calibri" w:hAnsi="Open Sans" w:cs="Open Sans"/>
          <w:sz w:val="24"/>
          <w:szCs w:val="24"/>
        </w:rPr>
      </w:pPr>
      <w:r w:rsidRPr="00AB5D73">
        <w:rPr>
          <w:rFonts w:ascii="Open Sans" w:eastAsia="Calibri" w:hAnsi="Open Sans" w:cs="Open Sans"/>
          <w:color w:val="FF0000"/>
          <w:sz w:val="24"/>
          <w:szCs w:val="24"/>
        </w:rPr>
        <w:t>The manner of behaving or acting as a person, partnership,</w:t>
      </w:r>
      <w:r w:rsidRPr="00AB5D73">
        <w:rPr>
          <w:rFonts w:ascii="Open Sans" w:eastAsia="Calibri" w:hAnsi="Open Sans" w:cs="Open Sans"/>
          <w:sz w:val="24"/>
          <w:szCs w:val="24"/>
        </w:rPr>
        <w:t xml:space="preserve"> </w:t>
      </w:r>
      <w:r w:rsidRPr="00AB5D73">
        <w:rPr>
          <w:rFonts w:ascii="Open Sans" w:eastAsia="Calibri" w:hAnsi="Open Sans" w:cs="Open Sans"/>
          <w:color w:val="FF0000"/>
          <w:sz w:val="24"/>
          <w:szCs w:val="24"/>
        </w:rPr>
        <w:t>or corporation engaged in commerce, manufacturing, or a service; profit-seeking enterprise or</w:t>
      </w:r>
      <w:r w:rsidRPr="00AB5D73">
        <w:rPr>
          <w:rFonts w:ascii="Open Sans" w:eastAsia="Calibri" w:hAnsi="Open Sans" w:cs="Open Sans"/>
          <w:sz w:val="24"/>
          <w:szCs w:val="24"/>
        </w:rPr>
        <w:t xml:space="preserve"> </w:t>
      </w:r>
      <w:r w:rsidRPr="00AB5D73">
        <w:rPr>
          <w:rFonts w:ascii="Open Sans" w:eastAsia="Calibri" w:hAnsi="Open Sans" w:cs="Open Sans"/>
          <w:color w:val="FF0000"/>
          <w:sz w:val="24"/>
          <w:szCs w:val="24"/>
        </w:rPr>
        <w:t>concern.</w:t>
      </w:r>
    </w:p>
    <w:p w14:paraId="68A21E21" w14:textId="77777777" w:rsidR="004504FD" w:rsidRPr="00734DB3" w:rsidRDefault="004504FD" w:rsidP="004504FD">
      <w:pPr>
        <w:spacing w:line="235" w:lineRule="auto"/>
        <w:ind w:right="200"/>
        <w:rPr>
          <w:rFonts w:ascii="Open Sans" w:hAnsi="Open Sans" w:cs="Open Sans"/>
          <w:sz w:val="24"/>
          <w:szCs w:val="24"/>
        </w:rPr>
      </w:pPr>
    </w:p>
    <w:p w14:paraId="2E6AC41C" w14:textId="34792A43" w:rsidR="004504FD" w:rsidRDefault="004504FD" w:rsidP="004504FD">
      <w:pPr>
        <w:spacing w:line="20" w:lineRule="exact"/>
        <w:rPr>
          <w:sz w:val="20"/>
          <w:szCs w:val="20"/>
        </w:rPr>
      </w:pPr>
    </w:p>
    <w:p w14:paraId="50F24422" w14:textId="77777777" w:rsidR="004504FD" w:rsidRDefault="004504FD" w:rsidP="004504FD">
      <w:pPr>
        <w:spacing w:line="200" w:lineRule="exact"/>
        <w:rPr>
          <w:sz w:val="20"/>
          <w:szCs w:val="20"/>
        </w:rPr>
      </w:pPr>
    </w:p>
    <w:p w14:paraId="6A326163" w14:textId="77777777" w:rsidR="00C15C00" w:rsidRPr="004504FD" w:rsidRDefault="00C15C00" w:rsidP="004504FD">
      <w:pPr>
        <w:rPr>
          <w:rFonts w:ascii="Open Sans" w:eastAsia="Calibri" w:hAnsi="Open Sans" w:cs="Open Sans"/>
          <w:sz w:val="24"/>
          <w:szCs w:val="24"/>
        </w:rPr>
      </w:pPr>
    </w:p>
    <w:sectPr w:rsidR="00C15C00" w:rsidRPr="004504FD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95D13" w14:textId="77777777" w:rsidR="00114DF2" w:rsidRDefault="00114DF2" w:rsidP="00E7721B">
      <w:r>
        <w:separator/>
      </w:r>
    </w:p>
  </w:endnote>
  <w:endnote w:type="continuationSeparator" w:id="0">
    <w:p w14:paraId="21A3626D" w14:textId="77777777" w:rsidR="00114DF2" w:rsidRDefault="00114DF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A08D89E" w:rsidR="00E7721B" w:rsidRPr="004060A4" w:rsidRDefault="007632B0" w:rsidP="004060A4">
            <w:pPr>
              <w:pStyle w:val="Foo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="00E7721B" w:rsidRPr="004060A4">
              <w:rPr>
                <w:rFonts w:asciiTheme="minorHAnsi" w:hAnsiTheme="minorHAnsi" w:cstheme="minorHAnsi"/>
              </w:rPr>
              <w:t xml:space="preserve"> </w:t>
            </w:r>
            <w:r w:rsidR="00E7721B" w:rsidRPr="004060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E7721B" w:rsidRPr="004060A4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="00E7721B" w:rsidRPr="004060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504F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E7721B" w:rsidRPr="004060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="00E7721B" w:rsidRPr="004060A4">
              <w:rPr>
                <w:rFonts w:asciiTheme="minorHAnsi" w:hAnsiTheme="minorHAnsi" w:cstheme="minorHAnsi"/>
              </w:rPr>
              <w:t xml:space="preserve"> of </w:t>
            </w:r>
            <w:r w:rsidR="00E7721B" w:rsidRPr="004060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E7721B" w:rsidRPr="004060A4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="00E7721B" w:rsidRPr="004060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504F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E7721B" w:rsidRPr="004060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F28446A" w:rsidR="00E7721B" w:rsidRDefault="00E7721B" w:rsidP="004060A4">
    <w:pPr>
      <w:pStyle w:val="Footer"/>
      <w:ind w:right="-432"/>
    </w:pPr>
    <w:r w:rsidRPr="004060A4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4060A4">
      <w:rPr>
        <w:rFonts w:asciiTheme="minorHAnsi" w:hAnsiTheme="minorHAnsi" w:cstheme="minorHAnsi"/>
        <w:sz w:val="20"/>
        <w:szCs w:val="20"/>
      </w:rPr>
      <w:t>,</w:t>
    </w:r>
    <w:r w:rsidRPr="004060A4">
      <w:rPr>
        <w:rFonts w:asciiTheme="minorHAnsi" w:hAnsiTheme="minorHAnsi" w:cstheme="minorHAnsi"/>
        <w:sz w:val="20"/>
        <w:szCs w:val="20"/>
      </w:rPr>
      <w:t xml:space="preserve"> 2017. All rights reserved</w:t>
    </w:r>
    <w:proofErr w:type="gramStart"/>
    <w:r w:rsidR="0053407E" w:rsidRPr="004060A4">
      <w:rPr>
        <w:rFonts w:asciiTheme="minorHAnsi" w:hAnsiTheme="minorHAnsi" w:cstheme="minorHAnsi"/>
        <w:sz w:val="20"/>
        <w:szCs w:val="20"/>
      </w:rPr>
      <w:t>.</w:t>
    </w:r>
    <w:r w:rsidRPr="004060A4">
      <w:rPr>
        <w:rFonts w:asciiTheme="minorHAnsi" w:hAnsiTheme="minorHAnsi" w:cstheme="minorHAnsi"/>
        <w:sz w:val="20"/>
        <w:szCs w:val="20"/>
      </w:rPr>
      <w:t xml:space="preserve"> </w:t>
    </w:r>
    <w:r w:rsidR="0053407E" w:rsidRPr="004060A4">
      <w:rPr>
        <w:rFonts w:asciiTheme="minorHAnsi" w:hAnsiTheme="minorHAnsi" w:cstheme="minorHAnsi"/>
        <w:sz w:val="20"/>
        <w:szCs w:val="20"/>
      </w:rPr>
      <w:t xml:space="preserve"> </w:t>
    </w:r>
    <w:proofErr w:type="gramEnd"/>
    <w:r w:rsidR="0053407E">
      <w:rPr>
        <w:rFonts w:cstheme="minorHAnsi"/>
        <w:sz w:val="20"/>
        <w:szCs w:val="20"/>
      </w:rPr>
      <w:t xml:space="preserve">                                                           </w:t>
    </w:r>
    <w:r w:rsidR="004060A4">
      <w:rPr>
        <w:rFonts w:cstheme="minorHAnsi"/>
        <w:sz w:val="20"/>
        <w:szCs w:val="20"/>
      </w:rPr>
      <w:t xml:space="preserve">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1BAFE" w14:textId="77777777" w:rsidR="00114DF2" w:rsidRDefault="00114DF2" w:rsidP="00E7721B">
      <w:r>
        <w:separator/>
      </w:r>
    </w:p>
  </w:footnote>
  <w:footnote w:type="continuationSeparator" w:id="0">
    <w:p w14:paraId="1104D6CD" w14:textId="77777777" w:rsidR="00114DF2" w:rsidRDefault="00114DF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90C"/>
    <w:multiLevelType w:val="hybridMultilevel"/>
    <w:tmpl w:val="BC8E1D56"/>
    <w:lvl w:ilvl="0" w:tplc="E9061ABA">
      <w:start w:val="5"/>
      <w:numFmt w:val="decimal"/>
      <w:lvlText w:val="%1."/>
      <w:lvlJc w:val="left"/>
    </w:lvl>
    <w:lvl w:ilvl="1" w:tplc="D600451C">
      <w:start w:val="1"/>
      <w:numFmt w:val="lowerLetter"/>
      <w:lvlText w:val="%2."/>
      <w:lvlJc w:val="left"/>
    </w:lvl>
    <w:lvl w:ilvl="2" w:tplc="C306784C">
      <w:numFmt w:val="decimal"/>
      <w:lvlText w:val=""/>
      <w:lvlJc w:val="left"/>
    </w:lvl>
    <w:lvl w:ilvl="3" w:tplc="69508D28">
      <w:numFmt w:val="decimal"/>
      <w:lvlText w:val=""/>
      <w:lvlJc w:val="left"/>
    </w:lvl>
    <w:lvl w:ilvl="4" w:tplc="A8181016">
      <w:numFmt w:val="decimal"/>
      <w:lvlText w:val=""/>
      <w:lvlJc w:val="left"/>
    </w:lvl>
    <w:lvl w:ilvl="5" w:tplc="87EAC3C0">
      <w:numFmt w:val="decimal"/>
      <w:lvlText w:val=""/>
      <w:lvlJc w:val="left"/>
    </w:lvl>
    <w:lvl w:ilvl="6" w:tplc="40243758">
      <w:numFmt w:val="decimal"/>
      <w:lvlText w:val=""/>
      <w:lvlJc w:val="left"/>
    </w:lvl>
    <w:lvl w:ilvl="7" w:tplc="B4C45C22">
      <w:numFmt w:val="decimal"/>
      <w:lvlText w:val=""/>
      <w:lvlJc w:val="left"/>
    </w:lvl>
    <w:lvl w:ilvl="8" w:tplc="0B24DA00">
      <w:numFmt w:val="decimal"/>
      <w:lvlText w:val=""/>
      <w:lvlJc w:val="left"/>
    </w:lvl>
  </w:abstractNum>
  <w:abstractNum w:abstractNumId="1">
    <w:nsid w:val="00007E87"/>
    <w:multiLevelType w:val="hybridMultilevel"/>
    <w:tmpl w:val="80F47D24"/>
    <w:lvl w:ilvl="0" w:tplc="3B56D654">
      <w:start w:val="1"/>
      <w:numFmt w:val="decimal"/>
      <w:lvlText w:val="%1."/>
      <w:lvlJc w:val="left"/>
    </w:lvl>
    <w:lvl w:ilvl="1" w:tplc="0D8AB2E6">
      <w:numFmt w:val="decimal"/>
      <w:lvlText w:val=""/>
      <w:lvlJc w:val="left"/>
    </w:lvl>
    <w:lvl w:ilvl="2" w:tplc="A6069D4A">
      <w:numFmt w:val="decimal"/>
      <w:lvlText w:val=""/>
      <w:lvlJc w:val="left"/>
    </w:lvl>
    <w:lvl w:ilvl="3" w:tplc="866A2680">
      <w:numFmt w:val="decimal"/>
      <w:lvlText w:val=""/>
      <w:lvlJc w:val="left"/>
    </w:lvl>
    <w:lvl w:ilvl="4" w:tplc="5032F0CC">
      <w:numFmt w:val="decimal"/>
      <w:lvlText w:val=""/>
      <w:lvlJc w:val="left"/>
    </w:lvl>
    <w:lvl w:ilvl="5" w:tplc="78000C9C">
      <w:numFmt w:val="decimal"/>
      <w:lvlText w:val=""/>
      <w:lvlJc w:val="left"/>
    </w:lvl>
    <w:lvl w:ilvl="6" w:tplc="3DAA37F4">
      <w:numFmt w:val="decimal"/>
      <w:lvlText w:val=""/>
      <w:lvlJc w:val="left"/>
    </w:lvl>
    <w:lvl w:ilvl="7" w:tplc="F8044D58">
      <w:numFmt w:val="decimal"/>
      <w:lvlText w:val=""/>
      <w:lvlJc w:val="left"/>
    </w:lvl>
    <w:lvl w:ilvl="8" w:tplc="BBC86D20">
      <w:numFmt w:val="decimal"/>
      <w:lvlText w:val=""/>
      <w:lvlJc w:val="left"/>
    </w:lvl>
  </w:abstractNum>
  <w:abstractNum w:abstractNumId="2">
    <w:nsid w:val="10693737"/>
    <w:multiLevelType w:val="hybridMultilevel"/>
    <w:tmpl w:val="08002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600451C">
      <w:start w:val="1"/>
      <w:numFmt w:val="lowerLetter"/>
      <w:lvlText w:val="%2."/>
      <w:lvlJc w:val="left"/>
    </w:lvl>
    <w:lvl w:ilvl="2" w:tplc="C306784C">
      <w:numFmt w:val="decimal"/>
      <w:lvlText w:val=""/>
      <w:lvlJc w:val="left"/>
    </w:lvl>
    <w:lvl w:ilvl="3" w:tplc="69508D28">
      <w:numFmt w:val="decimal"/>
      <w:lvlText w:val=""/>
      <w:lvlJc w:val="left"/>
    </w:lvl>
    <w:lvl w:ilvl="4" w:tplc="A8181016">
      <w:numFmt w:val="decimal"/>
      <w:lvlText w:val=""/>
      <w:lvlJc w:val="left"/>
    </w:lvl>
    <w:lvl w:ilvl="5" w:tplc="87EAC3C0">
      <w:numFmt w:val="decimal"/>
      <w:lvlText w:val=""/>
      <w:lvlJc w:val="left"/>
    </w:lvl>
    <w:lvl w:ilvl="6" w:tplc="40243758">
      <w:numFmt w:val="decimal"/>
      <w:lvlText w:val=""/>
      <w:lvlJc w:val="left"/>
    </w:lvl>
    <w:lvl w:ilvl="7" w:tplc="B4C45C22">
      <w:numFmt w:val="decimal"/>
      <w:lvlText w:val=""/>
      <w:lvlJc w:val="left"/>
    </w:lvl>
    <w:lvl w:ilvl="8" w:tplc="0B24DA00">
      <w:numFmt w:val="decimal"/>
      <w:lvlText w:val=""/>
      <w:lvlJc w:val="left"/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EDA"/>
    <w:rsid w:val="00041152"/>
    <w:rsid w:val="000B42F5"/>
    <w:rsid w:val="00114DF2"/>
    <w:rsid w:val="00381146"/>
    <w:rsid w:val="003D49FF"/>
    <w:rsid w:val="00402ECF"/>
    <w:rsid w:val="004060A4"/>
    <w:rsid w:val="004504FD"/>
    <w:rsid w:val="00475405"/>
    <w:rsid w:val="004A2064"/>
    <w:rsid w:val="004C7226"/>
    <w:rsid w:val="005015E1"/>
    <w:rsid w:val="0053407E"/>
    <w:rsid w:val="005A2F31"/>
    <w:rsid w:val="00644384"/>
    <w:rsid w:val="006B5017"/>
    <w:rsid w:val="00734DB3"/>
    <w:rsid w:val="007632B0"/>
    <w:rsid w:val="00845A5D"/>
    <w:rsid w:val="0096469E"/>
    <w:rsid w:val="00AD2CEF"/>
    <w:rsid w:val="00B0214B"/>
    <w:rsid w:val="00C15C00"/>
    <w:rsid w:val="00C6572D"/>
    <w:rsid w:val="00C947DA"/>
    <w:rsid w:val="00D371C7"/>
    <w:rsid w:val="00D6738D"/>
    <w:rsid w:val="00E55B01"/>
    <w:rsid w:val="00E7582B"/>
    <w:rsid w:val="00E765B8"/>
    <w:rsid w:val="00E7721B"/>
    <w:rsid w:val="00EE5F40"/>
    <w:rsid w:val="00F5048E"/>
    <w:rsid w:val="00F9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65B8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cp:lastPrinted>2017-07-12T15:24:00Z</cp:lastPrinted>
  <dcterms:created xsi:type="dcterms:W3CDTF">2017-10-12T19:28:00Z</dcterms:created>
  <dcterms:modified xsi:type="dcterms:W3CDTF">2017-10-12T19:28:00Z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