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E0" w:rsidRPr="00336EE0" w:rsidRDefault="00336EE0" w:rsidP="00336EE0">
      <w:pPr>
        <w:jc w:val="center"/>
        <w:rPr>
          <w:rFonts w:ascii="Open Sans" w:hAnsi="Open Sans" w:cs="Open Sans"/>
        </w:rPr>
      </w:pPr>
      <w:bookmarkStart w:id="0" w:name="_GoBack"/>
      <w:r w:rsidRPr="00336EE0">
        <w:rPr>
          <w:rFonts w:ascii="Open Sans" w:hAnsi="Open Sans" w:cs="Open Sans"/>
          <w:b/>
          <w:bCs/>
        </w:rPr>
        <w:t>Entry into the System: Arrests</w:t>
      </w:r>
      <w:r>
        <w:rPr>
          <w:rFonts w:ascii="Open Sans" w:hAnsi="Open Sans" w:cs="Open Sans"/>
        </w:rPr>
        <w:t xml:space="preserve"> </w:t>
      </w:r>
      <w:r w:rsidRPr="00336EE0">
        <w:rPr>
          <w:rFonts w:ascii="Open Sans" w:hAnsi="Open Sans" w:cs="Open Sans"/>
          <w:b/>
          <w:bCs/>
        </w:rPr>
        <w:t>Key Terms</w:t>
      </w:r>
    </w:p>
    <w:bookmarkEnd w:id="0"/>
    <w:p w:rsidR="00336EE0" w:rsidRPr="00336EE0" w:rsidRDefault="00336EE0" w:rsidP="00336EE0">
      <w:pPr>
        <w:rPr>
          <w:rFonts w:ascii="Open Sans" w:hAnsi="Open Sans" w:cs="Open Sans"/>
        </w:rPr>
      </w:pP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Arrest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Taking a person suspected of committing a crime into custody and curtailing the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>individual’s freedom to leave, until the person can be brought before a judge to answer the charges against him or her.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Arrest Warrant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A court-ordered document giving law enforcement the authority to arrest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>someone on a specific charge.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Due Process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The constitutional rights of citizens against government actions that threaten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>the denial of life, liberty, or property. In criminal cases, arrests and trials must meet certain minimum standards of fairness, and laws cannot violate constitutional rights.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Reasonable Suspicion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Warranted suspicion that a person may be engaged in criminal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>conduct. Not quite to the level of probable cause.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Probable Cause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Reasonable suspicion or belief that a crime has been committed and that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 xml:space="preserve">a </w:t>
      </w:r>
      <w:proofErr w:type="gramStart"/>
      <w:r w:rsidRPr="00336EE0">
        <w:rPr>
          <w:rFonts w:ascii="Open Sans" w:hAnsi="Open Sans" w:cs="Open Sans"/>
        </w:rPr>
        <w:t>particular person</w:t>
      </w:r>
      <w:proofErr w:type="gramEnd"/>
      <w:r w:rsidRPr="00336EE0">
        <w:rPr>
          <w:rFonts w:ascii="Open Sans" w:hAnsi="Open Sans" w:cs="Open Sans"/>
        </w:rPr>
        <w:t xml:space="preserve"> committed that crime.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Miranda Warning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The warning given to suspects by law enforcement advising suspects of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 xml:space="preserve">their legal rights to counsel, to refuse to answer questions, to avoid self-incrimination, and other privileges. Named after the landmark case of </w:t>
      </w:r>
      <w:r w:rsidRPr="00336EE0">
        <w:rPr>
          <w:rFonts w:ascii="Open Sans" w:hAnsi="Open Sans" w:cs="Open Sans"/>
          <w:i/>
          <w:iCs/>
        </w:rPr>
        <w:t>Miranda v. Arizona</w:t>
      </w:r>
      <w:r w:rsidRPr="00336EE0">
        <w:rPr>
          <w:rFonts w:ascii="Open Sans" w:hAnsi="Open Sans" w:cs="Open Sans"/>
        </w:rPr>
        <w:t xml:space="preserve"> (1966).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Fifth Amendment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The right to a grand jury for a capital or serious crime; protection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>against double jeopardy; protection against self-incrimination; prohibition of the taking of life, liberty, or property without due process of law.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Self-incrimination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Giving evidence and answering questions that would tend to subject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>one to criminal prosecution.</w:t>
      </w:r>
    </w:p>
    <w:p w:rsidR="00336EE0" w:rsidRPr="00336EE0" w:rsidRDefault="00336EE0" w:rsidP="00336EE0">
      <w:pPr>
        <w:rPr>
          <w:rFonts w:ascii="Open Sans" w:hAnsi="Open Sans" w:cs="Open Sans"/>
        </w:rPr>
      </w:pPr>
      <w:r w:rsidRPr="00336EE0">
        <w:rPr>
          <w:rFonts w:ascii="Open Sans" w:hAnsi="Open Sans" w:cs="Open Sans"/>
          <w:b/>
          <w:bCs/>
          <w:u w:val="single"/>
        </w:rPr>
        <w:t>Right to Counsel</w:t>
      </w:r>
      <w:r w:rsidRPr="00336EE0">
        <w:rPr>
          <w:rFonts w:ascii="Open Sans" w:hAnsi="Open Sans" w:cs="Open Sans"/>
          <w:b/>
          <w:bCs/>
        </w:rPr>
        <w:t xml:space="preserve"> – </w:t>
      </w:r>
      <w:r w:rsidRPr="00336EE0">
        <w:rPr>
          <w:rFonts w:ascii="Open Sans" w:hAnsi="Open Sans" w:cs="Open Sans"/>
        </w:rPr>
        <w:t>The right to be represented by an attorney at critical stages of the</w:t>
      </w:r>
      <w:r w:rsidRPr="00336EE0">
        <w:rPr>
          <w:rFonts w:ascii="Open Sans" w:hAnsi="Open Sans" w:cs="Open Sans"/>
          <w:b/>
          <w:bCs/>
        </w:rPr>
        <w:t xml:space="preserve"> </w:t>
      </w:r>
      <w:r w:rsidRPr="00336EE0">
        <w:rPr>
          <w:rFonts w:ascii="Open Sans" w:hAnsi="Open Sans" w:cs="Open Sans"/>
        </w:rPr>
        <w:t>criminal justice system.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E5" w:rsidRDefault="00CE5BE5" w:rsidP="00E7721B">
      <w:r>
        <w:separator/>
      </w:r>
    </w:p>
  </w:endnote>
  <w:endnote w:type="continuationSeparator" w:id="0">
    <w:p w:rsidR="00CE5BE5" w:rsidRDefault="00CE5BE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36EE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36EE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E5" w:rsidRDefault="00CE5BE5" w:rsidP="00E7721B">
      <w:r>
        <w:separator/>
      </w:r>
    </w:p>
  </w:footnote>
  <w:footnote w:type="continuationSeparator" w:id="0">
    <w:p w:rsidR="00CE5BE5" w:rsidRDefault="00CE5BE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36EE0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E5BE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C65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2017-10-19T16:12:00Z</dcterms:created>
  <dcterms:modified xsi:type="dcterms:W3CDTF">2017-10-19T16:12:00Z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