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89452" w14:textId="77777777" w:rsidR="00EC71FD" w:rsidRPr="00EC71FD" w:rsidRDefault="00EC71FD" w:rsidP="00EC71FD">
      <w:pPr>
        <w:spacing w:after="240" w:line="240" w:lineRule="auto"/>
        <w:jc w:val="center"/>
        <w:rPr>
          <w:rFonts w:ascii="Open Sans" w:eastAsia="Times New Roman" w:hAnsi="Open Sans" w:cs="Open Sans"/>
          <w:sz w:val="24"/>
        </w:rPr>
      </w:pPr>
      <w:r w:rsidRPr="00EC71FD">
        <w:rPr>
          <w:rFonts w:ascii="Open Sans" w:eastAsia="Calibri" w:hAnsi="Open Sans" w:cs="Open Sans"/>
          <w:b/>
          <w:bCs/>
          <w:sz w:val="24"/>
        </w:rPr>
        <w:t xml:space="preserve">Business Reports </w:t>
      </w:r>
      <w:r w:rsidRPr="00EC71FD">
        <w:rPr>
          <w:rFonts w:ascii="Open Sans" w:eastAsia="Calibri" w:hAnsi="Open Sans" w:cs="Open Sans"/>
          <w:b/>
          <w:bCs/>
          <w:i/>
          <w:iCs/>
          <w:color w:val="FF0000"/>
          <w:sz w:val="24"/>
        </w:rPr>
        <w:t>Answer Key</w:t>
      </w:r>
    </w:p>
    <w:p w14:paraId="7C0EF077" w14:textId="77777777" w:rsidR="00EC71FD" w:rsidRPr="00EC71FD" w:rsidRDefault="00EC71FD" w:rsidP="00EC71FD">
      <w:pPr>
        <w:spacing w:after="0" w:line="254" w:lineRule="auto"/>
        <w:ind w:right="20"/>
        <w:rPr>
          <w:rFonts w:ascii="Open Sans" w:eastAsia="Times New Roman" w:hAnsi="Open Sans" w:cs="Open Sans"/>
        </w:rPr>
      </w:pPr>
      <w:r w:rsidRPr="00EC71FD">
        <w:rPr>
          <w:rFonts w:ascii="Open Sans" w:eastAsia="Calibri" w:hAnsi="Open Sans" w:cs="Open Sans"/>
        </w:rPr>
        <w:t>Business Reports are used to organize information in an accurate, timely, and concise manner in order to assist with the decision-making process in an organization. Business reports share characteristics and may also be customized for a particular use.</w:t>
      </w:r>
    </w:p>
    <w:p w14:paraId="642C0DE6" w14:textId="77777777" w:rsidR="00EC71FD" w:rsidRPr="00EC71FD" w:rsidRDefault="00EC71FD" w:rsidP="00EC71FD">
      <w:pPr>
        <w:spacing w:before="120" w:after="120" w:line="240" w:lineRule="auto"/>
        <w:rPr>
          <w:rFonts w:ascii="Open Sans" w:eastAsia="Times New Roman" w:hAnsi="Open Sans" w:cs="Open Sans"/>
        </w:rPr>
      </w:pPr>
      <w:r w:rsidRPr="00EC71FD">
        <w:rPr>
          <w:rFonts w:ascii="Open Sans" w:eastAsia="Calibri" w:hAnsi="Open Sans" w:cs="Open Sans"/>
          <w:b/>
          <w:bCs/>
        </w:rPr>
        <w:t xml:space="preserve">Directions: While viewing the </w:t>
      </w:r>
      <w:r w:rsidRPr="00EC71FD">
        <w:rPr>
          <w:rFonts w:ascii="Open Sans" w:eastAsia="Calibri" w:hAnsi="Open Sans" w:cs="Open Sans"/>
          <w:b/>
          <w:bCs/>
          <w:i/>
          <w:iCs/>
        </w:rPr>
        <w:t>Business Report Presentation,</w:t>
      </w:r>
      <w:r w:rsidRPr="00EC71FD">
        <w:rPr>
          <w:rFonts w:ascii="Open Sans" w:eastAsia="Calibri" w:hAnsi="Open Sans" w:cs="Open Sans"/>
          <w:b/>
          <w:bCs/>
        </w:rPr>
        <w:t xml:space="preserve"> fill in the following blanks.</w:t>
      </w:r>
    </w:p>
    <w:p w14:paraId="091E1663" w14:textId="77777777" w:rsidR="00EC71FD" w:rsidRPr="00EC71FD" w:rsidRDefault="00EC71FD" w:rsidP="00EC71FD">
      <w:pPr>
        <w:spacing w:after="0" w:line="240" w:lineRule="auto"/>
        <w:rPr>
          <w:rFonts w:ascii="Open Sans" w:eastAsia="Times New Roman" w:hAnsi="Open Sans" w:cs="Open Sans"/>
        </w:rPr>
      </w:pPr>
      <w:r w:rsidRPr="00EC71FD">
        <w:rPr>
          <w:rFonts w:ascii="Open Sans" w:eastAsia="Calibri" w:hAnsi="Open Sans" w:cs="Open Sans"/>
        </w:rPr>
        <w:t>Informal reports may feature:</w:t>
      </w:r>
    </w:p>
    <w:p w14:paraId="624D81AB" w14:textId="77777777" w:rsidR="00EC71FD" w:rsidRPr="00EC71FD" w:rsidRDefault="00EC71FD" w:rsidP="00EC71F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Letter/memo format</w:t>
      </w:r>
    </w:p>
    <w:p w14:paraId="527475AE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58D37804" w14:textId="77777777" w:rsidR="00EC71FD" w:rsidRPr="00EC71FD" w:rsidRDefault="00EC71FD" w:rsidP="00EC71F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Minimal use of headings and visual aids</w:t>
      </w:r>
    </w:p>
    <w:p w14:paraId="43B00932" w14:textId="77777777" w:rsidR="00EC71FD" w:rsidRPr="00EC71FD" w:rsidRDefault="00EC71FD" w:rsidP="00EC71FD">
      <w:pPr>
        <w:spacing w:after="0" w:line="42" w:lineRule="exact"/>
        <w:rPr>
          <w:rFonts w:ascii="Open Sans" w:eastAsia="Symbol" w:hAnsi="Open Sans" w:cs="Open Sans"/>
          <w:color w:val="FF0000"/>
        </w:rPr>
      </w:pPr>
    </w:p>
    <w:p w14:paraId="535D918A" w14:textId="77777777" w:rsidR="00EC71FD" w:rsidRPr="00EC71FD" w:rsidRDefault="00EC71FD" w:rsidP="00EC71F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Personal pronouns and contractions</w:t>
      </w:r>
    </w:p>
    <w:p w14:paraId="47A534D2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27E84664" w14:textId="77777777" w:rsidR="00EC71FD" w:rsidRPr="00EC71FD" w:rsidRDefault="00EC71FD" w:rsidP="00EC71FD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May be a few paragraphs in length</w:t>
      </w:r>
    </w:p>
    <w:p w14:paraId="14E12599" w14:textId="77777777" w:rsidR="00EC71FD" w:rsidRPr="00EC71FD" w:rsidRDefault="00EC71FD" w:rsidP="00EC71FD">
      <w:pPr>
        <w:spacing w:after="0" w:line="111" w:lineRule="exact"/>
        <w:rPr>
          <w:rFonts w:ascii="Open Sans" w:eastAsia="Symbol" w:hAnsi="Open Sans" w:cs="Open Sans"/>
          <w:color w:val="FF0000"/>
        </w:rPr>
      </w:pPr>
    </w:p>
    <w:p w14:paraId="1C6C2C0F" w14:textId="77777777" w:rsidR="00EC71FD" w:rsidRPr="00EC71FD" w:rsidRDefault="00EC71FD" w:rsidP="00EC71FD">
      <w:pPr>
        <w:numPr>
          <w:ilvl w:val="0"/>
          <w:numId w:val="4"/>
        </w:numPr>
        <w:tabs>
          <w:tab w:val="left" w:pos="720"/>
        </w:tabs>
        <w:spacing w:after="0" w:line="230" w:lineRule="auto"/>
        <w:ind w:left="720" w:right="288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 xml:space="preserve">Mainly for an internal audience </w:t>
      </w:r>
    </w:p>
    <w:p w14:paraId="7CE30E3E" w14:textId="77777777" w:rsidR="00EC71FD" w:rsidRPr="00EC71FD" w:rsidRDefault="00EC71FD" w:rsidP="00EC71FD">
      <w:pPr>
        <w:spacing w:after="0" w:line="240" w:lineRule="auto"/>
        <w:ind w:left="720"/>
        <w:contextualSpacing/>
        <w:rPr>
          <w:rFonts w:ascii="Open Sans" w:eastAsia="Calibri" w:hAnsi="Open Sans" w:cs="Open Sans"/>
          <w:color w:val="000000"/>
        </w:rPr>
      </w:pPr>
    </w:p>
    <w:p w14:paraId="2DA655B6" w14:textId="77777777" w:rsidR="00EC71FD" w:rsidRPr="00EC71FD" w:rsidRDefault="00EC71FD" w:rsidP="00EC71FD">
      <w:pPr>
        <w:tabs>
          <w:tab w:val="left" w:pos="720"/>
        </w:tabs>
        <w:spacing w:after="0" w:line="230" w:lineRule="auto"/>
        <w:ind w:right="288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000000"/>
        </w:rPr>
        <w:t>Formal reports may feature:</w:t>
      </w:r>
    </w:p>
    <w:p w14:paraId="61330440" w14:textId="77777777" w:rsidR="00EC71FD" w:rsidRPr="00EC71FD" w:rsidRDefault="00EC71FD" w:rsidP="00EC71F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 more standard format organized into separate sections</w:t>
      </w:r>
    </w:p>
    <w:p w14:paraId="7D3702FB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427A616D" w14:textId="77777777" w:rsidR="00EC71FD" w:rsidRPr="00EC71FD" w:rsidRDefault="00EC71FD" w:rsidP="00EC71F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Front and back sections along with the body of the report</w:t>
      </w:r>
    </w:p>
    <w:p w14:paraId="6BF87161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35228DD3" w14:textId="77777777" w:rsidR="00EC71FD" w:rsidRPr="00EC71FD" w:rsidRDefault="00EC71FD" w:rsidP="00EC71F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 greater number of headings and visual aids</w:t>
      </w:r>
    </w:p>
    <w:p w14:paraId="09A7AD99" w14:textId="77777777" w:rsidR="00EC71FD" w:rsidRPr="00EC71FD" w:rsidRDefault="00EC71FD" w:rsidP="00EC71FD">
      <w:pPr>
        <w:spacing w:after="0" w:line="42" w:lineRule="exact"/>
        <w:rPr>
          <w:rFonts w:ascii="Open Sans" w:eastAsia="Symbol" w:hAnsi="Open Sans" w:cs="Open Sans"/>
          <w:color w:val="FF0000"/>
        </w:rPr>
      </w:pPr>
    </w:p>
    <w:p w14:paraId="00BB872D" w14:textId="77777777" w:rsidR="00EC71FD" w:rsidRPr="00EC71FD" w:rsidRDefault="00EC71FD" w:rsidP="00EC71FD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 length of greater than five pages</w:t>
      </w:r>
    </w:p>
    <w:p w14:paraId="353D6C7D" w14:textId="77777777" w:rsidR="00EC71FD" w:rsidRPr="00EC71FD" w:rsidRDefault="00EC71FD" w:rsidP="00EC71FD">
      <w:pPr>
        <w:pStyle w:val="ListParagraph"/>
        <w:numPr>
          <w:ilvl w:val="0"/>
          <w:numId w:val="5"/>
        </w:numPr>
        <w:tabs>
          <w:tab w:val="left" w:pos="720"/>
        </w:tabs>
        <w:spacing w:after="0" w:line="243" w:lineRule="auto"/>
        <w:ind w:right="288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 xml:space="preserve">Content designed for internal and/or external audiences </w:t>
      </w:r>
    </w:p>
    <w:p w14:paraId="1077D886" w14:textId="77777777" w:rsidR="00EC71FD" w:rsidRPr="00EC71FD" w:rsidRDefault="00EC71FD" w:rsidP="00EC71FD">
      <w:pPr>
        <w:spacing w:after="0" w:line="240" w:lineRule="auto"/>
        <w:ind w:left="720"/>
        <w:contextualSpacing/>
        <w:rPr>
          <w:rFonts w:ascii="Open Sans" w:eastAsia="Calibri" w:hAnsi="Open Sans" w:cs="Open Sans"/>
          <w:color w:val="000000"/>
        </w:rPr>
      </w:pPr>
    </w:p>
    <w:p w14:paraId="60BA34E1" w14:textId="77777777" w:rsidR="00EC71FD" w:rsidRPr="00EC71FD" w:rsidRDefault="00EC71FD" w:rsidP="00EC71FD">
      <w:pPr>
        <w:tabs>
          <w:tab w:val="left" w:pos="720"/>
        </w:tabs>
        <w:spacing w:after="0" w:line="243" w:lineRule="auto"/>
        <w:ind w:right="3312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000000"/>
        </w:rPr>
        <w:t>The key questions to ask when planning a business report are:</w:t>
      </w:r>
    </w:p>
    <w:p w14:paraId="628B73AA" w14:textId="77777777" w:rsidR="00EC71FD" w:rsidRPr="00EC71FD" w:rsidRDefault="00EC71FD" w:rsidP="00EC71F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What is the purpose of this report?</w:t>
      </w:r>
    </w:p>
    <w:p w14:paraId="1AE133B3" w14:textId="77777777" w:rsidR="00EC71FD" w:rsidRPr="00EC71FD" w:rsidRDefault="00EC71FD" w:rsidP="00EC71FD">
      <w:pPr>
        <w:spacing w:after="0" w:line="45" w:lineRule="exact"/>
        <w:rPr>
          <w:rFonts w:ascii="Open Sans" w:eastAsia="Symbol" w:hAnsi="Open Sans" w:cs="Open Sans"/>
          <w:color w:val="FF0000"/>
        </w:rPr>
      </w:pPr>
    </w:p>
    <w:p w14:paraId="4C8925EE" w14:textId="77777777" w:rsidR="00EC71FD" w:rsidRPr="00EC71FD" w:rsidRDefault="00EC71FD" w:rsidP="00EC71F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Who are the readers of this report?</w:t>
      </w:r>
    </w:p>
    <w:p w14:paraId="4480F560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22523C84" w14:textId="77777777" w:rsidR="00EC71FD" w:rsidRPr="00EC71FD" w:rsidRDefault="00EC71FD" w:rsidP="00EC71F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What are the report’s main messages?</w:t>
      </w:r>
    </w:p>
    <w:p w14:paraId="47E86939" w14:textId="77777777" w:rsidR="00EC71FD" w:rsidRPr="00EC71FD" w:rsidRDefault="00EC71FD" w:rsidP="00EC71FD">
      <w:pPr>
        <w:spacing w:after="0" w:line="42" w:lineRule="exact"/>
        <w:rPr>
          <w:rFonts w:ascii="Open Sans" w:eastAsia="Symbol" w:hAnsi="Open Sans" w:cs="Open Sans"/>
          <w:color w:val="FF0000"/>
        </w:rPr>
      </w:pPr>
    </w:p>
    <w:p w14:paraId="3A197E4F" w14:textId="77777777" w:rsidR="00EC71FD" w:rsidRPr="00EC71FD" w:rsidRDefault="00EC71FD" w:rsidP="00EC71FD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How will the report be structured?</w:t>
      </w:r>
    </w:p>
    <w:p w14:paraId="7F0F64ED" w14:textId="77777777" w:rsidR="00EC71FD" w:rsidRPr="00EC71FD" w:rsidRDefault="00EC71FD" w:rsidP="00EC71FD">
      <w:pPr>
        <w:spacing w:after="0" w:line="45" w:lineRule="exact"/>
        <w:rPr>
          <w:rFonts w:ascii="Open Sans" w:eastAsia="Times New Roman" w:hAnsi="Open Sans" w:cs="Open Sans"/>
        </w:rPr>
      </w:pPr>
    </w:p>
    <w:p w14:paraId="0C9FDC33" w14:textId="77777777" w:rsidR="00EC71FD" w:rsidRPr="00EC71FD" w:rsidRDefault="00EC71FD" w:rsidP="00EC71FD">
      <w:pPr>
        <w:spacing w:after="0" w:line="45" w:lineRule="exact"/>
        <w:rPr>
          <w:rFonts w:ascii="Open Sans" w:eastAsia="Times New Roman" w:hAnsi="Open Sans" w:cs="Open Sans"/>
        </w:rPr>
      </w:pPr>
    </w:p>
    <w:p w14:paraId="6BCF4CFE" w14:textId="77777777" w:rsidR="00EC71FD" w:rsidRPr="00EC71FD" w:rsidRDefault="00EC71FD" w:rsidP="00EC71FD">
      <w:pPr>
        <w:spacing w:after="0" w:line="240" w:lineRule="auto"/>
        <w:rPr>
          <w:rFonts w:ascii="Open Sans" w:eastAsia="Calibri" w:hAnsi="Open Sans" w:cs="Open Sans"/>
        </w:rPr>
      </w:pPr>
    </w:p>
    <w:p w14:paraId="0AC99C85" w14:textId="77777777" w:rsidR="00EC71FD" w:rsidRPr="00EC71FD" w:rsidRDefault="00EC71FD" w:rsidP="00EC71FD">
      <w:pPr>
        <w:spacing w:after="0" w:line="240" w:lineRule="auto"/>
        <w:rPr>
          <w:rFonts w:ascii="Open Sans" w:eastAsia="Times New Roman" w:hAnsi="Open Sans" w:cs="Open Sans"/>
        </w:rPr>
      </w:pPr>
      <w:r w:rsidRPr="00EC71FD">
        <w:rPr>
          <w:rFonts w:ascii="Open Sans" w:eastAsia="Calibri" w:hAnsi="Open Sans" w:cs="Open Sans"/>
        </w:rPr>
        <w:t>A business report may contain:</w:t>
      </w:r>
    </w:p>
    <w:p w14:paraId="738651B0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 cover letter/memo</w:t>
      </w:r>
    </w:p>
    <w:p w14:paraId="02F8AFB2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197902BA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 title page</w:t>
      </w:r>
    </w:p>
    <w:p w14:paraId="526A62DA" w14:textId="77777777" w:rsidR="00EC71FD" w:rsidRPr="00EC71FD" w:rsidRDefault="00EC71FD" w:rsidP="00EC71FD">
      <w:pPr>
        <w:spacing w:after="0" w:line="42" w:lineRule="exact"/>
        <w:rPr>
          <w:rFonts w:ascii="Open Sans" w:eastAsia="Symbol" w:hAnsi="Open Sans" w:cs="Open Sans"/>
          <w:color w:val="FF0000"/>
        </w:rPr>
      </w:pPr>
    </w:p>
    <w:p w14:paraId="565F2866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An executive summary</w:t>
      </w:r>
    </w:p>
    <w:p w14:paraId="1B9DBDC7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0D864447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 table of contents</w:t>
      </w:r>
    </w:p>
    <w:p w14:paraId="72F6081E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63A26D2B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An introduction</w:t>
      </w:r>
    </w:p>
    <w:p w14:paraId="6942F7A4" w14:textId="77777777" w:rsidR="00EC71FD" w:rsidRPr="00EC71FD" w:rsidRDefault="00EC71FD" w:rsidP="00EC71FD">
      <w:pPr>
        <w:spacing w:after="0" w:line="42" w:lineRule="exact"/>
        <w:rPr>
          <w:rFonts w:ascii="Open Sans" w:eastAsia="Symbol" w:hAnsi="Open Sans" w:cs="Open Sans"/>
          <w:color w:val="FF0000"/>
        </w:rPr>
      </w:pPr>
    </w:p>
    <w:p w14:paraId="4923336E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Conclusions</w:t>
      </w:r>
    </w:p>
    <w:p w14:paraId="6678EF88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488A15D0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Recommendations</w:t>
      </w:r>
    </w:p>
    <w:p w14:paraId="7473AB7E" w14:textId="77777777" w:rsidR="00EC71FD" w:rsidRPr="00EC71FD" w:rsidRDefault="00EC71FD" w:rsidP="00EC71FD">
      <w:pPr>
        <w:spacing w:after="0" w:line="44" w:lineRule="exact"/>
        <w:rPr>
          <w:rFonts w:ascii="Open Sans" w:eastAsia="Symbol" w:hAnsi="Open Sans" w:cs="Open Sans"/>
          <w:color w:val="FF0000"/>
        </w:rPr>
      </w:pPr>
    </w:p>
    <w:p w14:paraId="33DD481A" w14:textId="5C4095C5" w:rsidR="00233929" w:rsidRPr="00233929" w:rsidRDefault="00EC71FD" w:rsidP="0023392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Findings and discussion</w:t>
      </w:r>
      <w:bookmarkStart w:id="0" w:name="_GoBack"/>
      <w:bookmarkEnd w:id="0"/>
    </w:p>
    <w:p w14:paraId="51A00124" w14:textId="38DDE66A" w:rsidR="00EC71FD" w:rsidRPr="00233929" w:rsidRDefault="00EC71FD" w:rsidP="00233929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color w:val="FF0000"/>
        </w:rPr>
      </w:pPr>
      <w:r w:rsidRPr="00233929">
        <w:rPr>
          <w:rFonts w:ascii="Open Sans" w:eastAsia="Calibri" w:hAnsi="Open Sans" w:cs="Open Sans"/>
          <w:color w:val="FF0000"/>
        </w:rPr>
        <w:t xml:space="preserve">A list of references </w:t>
      </w:r>
    </w:p>
    <w:p w14:paraId="0258A2AA" w14:textId="77777777" w:rsidR="00EC71FD" w:rsidRPr="00EC71FD" w:rsidRDefault="00EC71FD" w:rsidP="00EC71FD">
      <w:pPr>
        <w:pStyle w:val="ListParagraph"/>
        <w:numPr>
          <w:ilvl w:val="0"/>
          <w:numId w:val="8"/>
        </w:numPr>
        <w:tabs>
          <w:tab w:val="left" w:pos="720"/>
        </w:tabs>
        <w:spacing w:after="0" w:line="241" w:lineRule="auto"/>
        <w:ind w:right="5616"/>
        <w:rPr>
          <w:rFonts w:ascii="Open Sans" w:eastAsia="Symbol" w:hAnsi="Open Sans" w:cs="Open Sans"/>
          <w:color w:val="FF0000"/>
        </w:rPr>
      </w:pPr>
      <w:r w:rsidRPr="00EC71FD">
        <w:rPr>
          <w:rFonts w:ascii="Open Sans" w:eastAsia="Calibri" w:hAnsi="Open Sans" w:cs="Open Sans"/>
          <w:color w:val="FF0000"/>
        </w:rPr>
        <w:t>Appendices</w:t>
      </w: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AE14A" w14:textId="77777777" w:rsidR="00F42303" w:rsidRDefault="00F42303" w:rsidP="00E7721B">
      <w:pPr>
        <w:spacing w:after="0" w:line="240" w:lineRule="auto"/>
      </w:pPr>
      <w:r>
        <w:separator/>
      </w:r>
    </w:p>
  </w:endnote>
  <w:endnote w:type="continuationSeparator" w:id="0">
    <w:p w14:paraId="7267B38A" w14:textId="77777777" w:rsidR="00F42303" w:rsidRDefault="00F4230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67C23" w14:textId="77777777" w:rsidR="00296843" w:rsidRDefault="002968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4DADF45B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9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9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F42303" w:rsidP="00E7721B">
            <w:pPr>
              <w:pStyle w:val="Footer"/>
              <w:jc w:val="center"/>
            </w:pPr>
          </w:p>
        </w:sdtContent>
      </w:sdt>
    </w:sdtContent>
  </w:sdt>
  <w:p w14:paraId="34C967B0" w14:textId="352595C3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29684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29684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A8607" w14:textId="77777777" w:rsidR="00296843" w:rsidRDefault="002968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66CD0" w14:textId="77777777" w:rsidR="00F42303" w:rsidRDefault="00F42303" w:rsidP="00E7721B">
      <w:pPr>
        <w:spacing w:after="0" w:line="240" w:lineRule="auto"/>
      </w:pPr>
      <w:r>
        <w:separator/>
      </w:r>
    </w:p>
  </w:footnote>
  <w:footnote w:type="continuationSeparator" w:id="0">
    <w:p w14:paraId="5866C542" w14:textId="77777777" w:rsidR="00F42303" w:rsidRDefault="00F4230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D59F" w14:textId="77777777" w:rsidR="00296843" w:rsidRDefault="002968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93CB" w14:textId="77777777" w:rsidR="00296843" w:rsidRDefault="002968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78165828"/>
    <w:lvl w:ilvl="0" w:tplc="81EEF808">
      <w:start w:val="1"/>
      <w:numFmt w:val="bullet"/>
      <w:lvlText w:val=""/>
      <w:lvlJc w:val="left"/>
    </w:lvl>
    <w:lvl w:ilvl="1" w:tplc="EAECE306">
      <w:numFmt w:val="decimal"/>
      <w:lvlText w:val=""/>
      <w:lvlJc w:val="left"/>
    </w:lvl>
    <w:lvl w:ilvl="2" w:tplc="1E003B78">
      <w:numFmt w:val="decimal"/>
      <w:lvlText w:val=""/>
      <w:lvlJc w:val="left"/>
    </w:lvl>
    <w:lvl w:ilvl="3" w:tplc="BE344680">
      <w:numFmt w:val="decimal"/>
      <w:lvlText w:val=""/>
      <w:lvlJc w:val="left"/>
    </w:lvl>
    <w:lvl w:ilvl="4" w:tplc="F70657F8">
      <w:numFmt w:val="decimal"/>
      <w:lvlText w:val=""/>
      <w:lvlJc w:val="left"/>
    </w:lvl>
    <w:lvl w:ilvl="5" w:tplc="5B4CFD94">
      <w:numFmt w:val="decimal"/>
      <w:lvlText w:val=""/>
      <w:lvlJc w:val="left"/>
    </w:lvl>
    <w:lvl w:ilvl="6" w:tplc="E52A04CE">
      <w:numFmt w:val="decimal"/>
      <w:lvlText w:val=""/>
      <w:lvlJc w:val="left"/>
    </w:lvl>
    <w:lvl w:ilvl="7" w:tplc="BF14E284">
      <w:numFmt w:val="decimal"/>
      <w:lvlText w:val=""/>
      <w:lvlJc w:val="left"/>
    </w:lvl>
    <w:lvl w:ilvl="8" w:tplc="7B921FB4">
      <w:numFmt w:val="decimal"/>
      <w:lvlText w:val=""/>
      <w:lvlJc w:val="left"/>
    </w:lvl>
  </w:abstractNum>
  <w:abstractNum w:abstractNumId="1">
    <w:nsid w:val="0000301C"/>
    <w:multiLevelType w:val="hybridMultilevel"/>
    <w:tmpl w:val="750A9142"/>
    <w:lvl w:ilvl="0" w:tplc="F30CBDC0">
      <w:start w:val="1"/>
      <w:numFmt w:val="bullet"/>
      <w:lvlText w:val=""/>
      <w:lvlJc w:val="left"/>
    </w:lvl>
    <w:lvl w:ilvl="1" w:tplc="28D032E0">
      <w:numFmt w:val="decimal"/>
      <w:lvlText w:val=""/>
      <w:lvlJc w:val="left"/>
    </w:lvl>
    <w:lvl w:ilvl="2" w:tplc="1264DE96">
      <w:numFmt w:val="decimal"/>
      <w:lvlText w:val=""/>
      <w:lvlJc w:val="left"/>
    </w:lvl>
    <w:lvl w:ilvl="3" w:tplc="B4A8193E">
      <w:numFmt w:val="decimal"/>
      <w:lvlText w:val=""/>
      <w:lvlJc w:val="left"/>
    </w:lvl>
    <w:lvl w:ilvl="4" w:tplc="BE766FF2">
      <w:numFmt w:val="decimal"/>
      <w:lvlText w:val=""/>
      <w:lvlJc w:val="left"/>
    </w:lvl>
    <w:lvl w:ilvl="5" w:tplc="042C51E0">
      <w:numFmt w:val="decimal"/>
      <w:lvlText w:val=""/>
      <w:lvlJc w:val="left"/>
    </w:lvl>
    <w:lvl w:ilvl="6" w:tplc="4FC46F9C">
      <w:numFmt w:val="decimal"/>
      <w:lvlText w:val=""/>
      <w:lvlJc w:val="left"/>
    </w:lvl>
    <w:lvl w:ilvl="7" w:tplc="4CE0B230">
      <w:numFmt w:val="decimal"/>
      <w:lvlText w:val=""/>
      <w:lvlJc w:val="left"/>
    </w:lvl>
    <w:lvl w:ilvl="8" w:tplc="521A1614">
      <w:numFmt w:val="decimal"/>
      <w:lvlText w:val=""/>
      <w:lvlJc w:val="left"/>
    </w:lvl>
  </w:abstractNum>
  <w:abstractNum w:abstractNumId="2">
    <w:nsid w:val="21EC06D5"/>
    <w:multiLevelType w:val="hybridMultilevel"/>
    <w:tmpl w:val="7FCEA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70F0B"/>
    <w:multiLevelType w:val="hybridMultilevel"/>
    <w:tmpl w:val="A300E8C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8D032E0">
      <w:numFmt w:val="decimal"/>
      <w:lvlText w:val=""/>
      <w:lvlJc w:val="left"/>
    </w:lvl>
    <w:lvl w:ilvl="2" w:tplc="1264DE96">
      <w:numFmt w:val="decimal"/>
      <w:lvlText w:val=""/>
      <w:lvlJc w:val="left"/>
    </w:lvl>
    <w:lvl w:ilvl="3" w:tplc="B4A8193E">
      <w:numFmt w:val="decimal"/>
      <w:lvlText w:val=""/>
      <w:lvlJc w:val="left"/>
    </w:lvl>
    <w:lvl w:ilvl="4" w:tplc="BE766FF2">
      <w:numFmt w:val="decimal"/>
      <w:lvlText w:val=""/>
      <w:lvlJc w:val="left"/>
    </w:lvl>
    <w:lvl w:ilvl="5" w:tplc="042C51E0">
      <w:numFmt w:val="decimal"/>
      <w:lvlText w:val=""/>
      <w:lvlJc w:val="left"/>
    </w:lvl>
    <w:lvl w:ilvl="6" w:tplc="4FC46F9C">
      <w:numFmt w:val="decimal"/>
      <w:lvlText w:val=""/>
      <w:lvlJc w:val="left"/>
    </w:lvl>
    <w:lvl w:ilvl="7" w:tplc="4CE0B230">
      <w:numFmt w:val="decimal"/>
      <w:lvlText w:val=""/>
      <w:lvlJc w:val="left"/>
    </w:lvl>
    <w:lvl w:ilvl="8" w:tplc="521A1614">
      <w:numFmt w:val="decimal"/>
      <w:lvlText w:val=""/>
      <w:lvlJc w:val="left"/>
    </w:lvl>
  </w:abstractNum>
  <w:abstractNum w:abstractNumId="4">
    <w:nsid w:val="42DE10E1"/>
    <w:multiLevelType w:val="hybridMultilevel"/>
    <w:tmpl w:val="82F8FF9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8D032E0">
      <w:numFmt w:val="decimal"/>
      <w:lvlText w:val=""/>
      <w:lvlJc w:val="left"/>
    </w:lvl>
    <w:lvl w:ilvl="2" w:tplc="1264DE96">
      <w:numFmt w:val="decimal"/>
      <w:lvlText w:val=""/>
      <w:lvlJc w:val="left"/>
    </w:lvl>
    <w:lvl w:ilvl="3" w:tplc="B4A8193E">
      <w:numFmt w:val="decimal"/>
      <w:lvlText w:val=""/>
      <w:lvlJc w:val="left"/>
    </w:lvl>
    <w:lvl w:ilvl="4" w:tplc="BE766FF2">
      <w:numFmt w:val="decimal"/>
      <w:lvlText w:val=""/>
      <w:lvlJc w:val="left"/>
    </w:lvl>
    <w:lvl w:ilvl="5" w:tplc="042C51E0">
      <w:numFmt w:val="decimal"/>
      <w:lvlText w:val=""/>
      <w:lvlJc w:val="left"/>
    </w:lvl>
    <w:lvl w:ilvl="6" w:tplc="4FC46F9C">
      <w:numFmt w:val="decimal"/>
      <w:lvlText w:val=""/>
      <w:lvlJc w:val="left"/>
    </w:lvl>
    <w:lvl w:ilvl="7" w:tplc="4CE0B230">
      <w:numFmt w:val="decimal"/>
      <w:lvlText w:val=""/>
      <w:lvlJc w:val="left"/>
    </w:lvl>
    <w:lvl w:ilvl="8" w:tplc="521A1614">
      <w:numFmt w:val="decimal"/>
      <w:lvlText w:val=""/>
      <w:lvlJc w:val="left"/>
    </w:lvl>
  </w:abstractNum>
  <w:abstractNum w:abstractNumId="5">
    <w:nsid w:val="7547678E"/>
    <w:multiLevelType w:val="hybridMultilevel"/>
    <w:tmpl w:val="F902774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EAECE306">
      <w:numFmt w:val="decimal"/>
      <w:lvlText w:val=""/>
      <w:lvlJc w:val="left"/>
    </w:lvl>
    <w:lvl w:ilvl="2" w:tplc="1E003B78">
      <w:numFmt w:val="decimal"/>
      <w:lvlText w:val=""/>
      <w:lvlJc w:val="left"/>
    </w:lvl>
    <w:lvl w:ilvl="3" w:tplc="BE344680">
      <w:numFmt w:val="decimal"/>
      <w:lvlText w:val=""/>
      <w:lvlJc w:val="left"/>
    </w:lvl>
    <w:lvl w:ilvl="4" w:tplc="F70657F8">
      <w:numFmt w:val="decimal"/>
      <w:lvlText w:val=""/>
      <w:lvlJc w:val="left"/>
    </w:lvl>
    <w:lvl w:ilvl="5" w:tplc="5B4CFD94">
      <w:numFmt w:val="decimal"/>
      <w:lvlText w:val=""/>
      <w:lvlJc w:val="left"/>
    </w:lvl>
    <w:lvl w:ilvl="6" w:tplc="E52A04CE">
      <w:numFmt w:val="decimal"/>
      <w:lvlText w:val=""/>
      <w:lvlJc w:val="left"/>
    </w:lvl>
    <w:lvl w:ilvl="7" w:tplc="BF14E284">
      <w:numFmt w:val="decimal"/>
      <w:lvlText w:val=""/>
      <w:lvlJc w:val="left"/>
    </w:lvl>
    <w:lvl w:ilvl="8" w:tplc="7B921FB4">
      <w:numFmt w:val="decimal"/>
      <w:lvlText w:val=""/>
      <w:lvlJc w:val="left"/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76F73"/>
    <w:multiLevelType w:val="hybridMultilevel"/>
    <w:tmpl w:val="B2C6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42268"/>
    <w:rsid w:val="00170F40"/>
    <w:rsid w:val="0019694A"/>
    <w:rsid w:val="00233929"/>
    <w:rsid w:val="00296843"/>
    <w:rsid w:val="003D49FF"/>
    <w:rsid w:val="004C7226"/>
    <w:rsid w:val="004F2284"/>
    <w:rsid w:val="006D030D"/>
    <w:rsid w:val="00AC57EF"/>
    <w:rsid w:val="00AD2CEF"/>
    <w:rsid w:val="00B0214B"/>
    <w:rsid w:val="00D563EC"/>
    <w:rsid w:val="00D615CC"/>
    <w:rsid w:val="00D8148F"/>
    <w:rsid w:val="00DC756A"/>
    <w:rsid w:val="00E7721B"/>
    <w:rsid w:val="00EB252F"/>
    <w:rsid w:val="00EC71FD"/>
    <w:rsid w:val="00F42303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7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2017-09-08T18:59:00Z</dcterms:created>
  <dcterms:modified xsi:type="dcterms:W3CDTF">2017-10-06T15:04:00Z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